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2E493">
      <w:pPr>
        <w:spacing w:before="156" w:beforeLines="50" w:after="156" w:afterLines="50" w:line="360" w:lineRule="auto"/>
        <w:jc w:val="center"/>
        <w:rPr>
          <w:rFonts w:ascii="黑体" w:hAnsi="黑体" w:eastAsia="黑体"/>
          <w:color w:val="FF0000"/>
          <w:spacing w:val="30"/>
          <w:sz w:val="68"/>
          <w:szCs w:val="68"/>
        </w:rPr>
      </w:pPr>
      <w:r>
        <w:rPr>
          <w:rFonts w:hint="eastAsia" w:ascii="黑体" w:hAnsi="黑体" w:eastAsia="黑体"/>
          <w:color w:val="FF0000"/>
          <w:spacing w:val="30"/>
          <w:sz w:val="68"/>
          <w:szCs w:val="68"/>
        </w:rPr>
        <w:t>巴彦淖尔市气象灾害风险</w:t>
      </w:r>
    </w:p>
    <w:p w14:paraId="4F779087">
      <w:pPr>
        <w:spacing w:before="156" w:beforeLines="50" w:after="156" w:afterLines="50" w:line="360" w:lineRule="auto"/>
        <w:jc w:val="center"/>
        <w:outlineLvl w:val="0"/>
        <w:rPr>
          <w:rFonts w:ascii="黑体" w:hAnsi="黑体" w:eastAsia="黑体" w:cs="仿宋_GB2312"/>
          <w:color w:val="000000"/>
          <w:sz w:val="30"/>
          <w:szCs w:val="30"/>
        </w:rPr>
      </w:pPr>
      <w:r>
        <w:rPr>
          <w:rFonts w:hint="eastAsia" w:ascii="黑体" w:hAnsi="黑体" w:eastAsia="黑体" w:cs="仿宋_GB2312"/>
          <w:color w:val="000000"/>
          <w:sz w:val="30"/>
          <w:szCs w:val="30"/>
        </w:rPr>
        <w:t>第1期</w:t>
      </w:r>
    </w:p>
    <w:tbl>
      <w:tblPr>
        <w:tblStyle w:val="11"/>
        <w:tblW w:w="8730" w:type="dxa"/>
        <w:jc w:val="center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5"/>
        <w:gridCol w:w="4365"/>
      </w:tblGrid>
      <w:tr w14:paraId="3379CC5F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5" w:type="dxa"/>
            <w:tcBorders>
              <w:top w:val="nil"/>
              <w:left w:val="nil"/>
              <w:bottom w:val="single" w:color="FF0000" w:sz="18" w:space="0"/>
              <w:right w:val="nil"/>
            </w:tcBorders>
          </w:tcPr>
          <w:p w14:paraId="138580F4">
            <w:pPr>
              <w:spacing w:line="520" w:lineRule="exact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ascii="黑体" w:hAnsi="黑体" w:eastAsia="黑体" w:cs="Times New Roman"/>
                <w:sz w:val="30"/>
                <w:szCs w:val="30"/>
              </w:rPr>
              <w:t>巴彦淖尔市气象局</w:t>
            </w:r>
          </w:p>
        </w:tc>
        <w:tc>
          <w:tcPr>
            <w:tcW w:w="4365" w:type="dxa"/>
            <w:tcBorders>
              <w:top w:val="nil"/>
              <w:left w:val="nil"/>
              <w:bottom w:val="single" w:color="FF0000" w:sz="18" w:space="0"/>
              <w:right w:val="nil"/>
            </w:tcBorders>
          </w:tcPr>
          <w:p w14:paraId="03B0DF79">
            <w:pPr>
              <w:spacing w:line="520" w:lineRule="exact"/>
              <w:jc w:val="right"/>
              <w:rPr>
                <w:rFonts w:ascii="黑体" w:hAnsi="黑体" w:eastAsia="黑体" w:cs="Times New Roman"/>
                <w:sz w:val="30"/>
                <w:szCs w:val="30"/>
              </w:rPr>
            </w:pPr>
            <w:r>
              <w:rPr>
                <w:rFonts w:ascii="黑体" w:hAnsi="黑体" w:eastAsia="黑体" w:cs="Times New Roman"/>
                <w:sz w:val="30"/>
                <w:szCs w:val="30"/>
              </w:rPr>
              <w:t>2026年7月31日</w:t>
            </w:r>
          </w:p>
        </w:tc>
      </w:tr>
    </w:tbl>
    <w:p w14:paraId="600B6FC5"/>
    <w:p w14:paraId="781BF220"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sz w:val="44"/>
          <w:szCs w:val="44"/>
        </w:rPr>
        <w:t>2026年8月巴彦淖尔市气象灾害风险</w:t>
      </w:r>
    </w:p>
    <w:p w14:paraId="6324B274">
      <w:pPr>
        <w:spacing w:line="560" w:lineRule="exact"/>
        <w:ind w:firstLine="640" w:firstLineChars="200"/>
        <w:rPr>
          <w:rFonts w:hint="eastAsia" w:ascii="黑体" w:hAnsi="宋体" w:eastAsia="黑体" w:cs="黑体"/>
          <w:bCs/>
          <w:sz w:val="32"/>
          <w:szCs w:val="32"/>
        </w:rPr>
      </w:pPr>
      <w:r>
        <w:rPr>
          <w:rFonts w:hint="eastAsia" w:ascii="黑体" w:hAnsi="宋体" w:eastAsia="黑体" w:cs="黑体"/>
          <w:bCs/>
          <w:sz w:val="32"/>
          <w:szCs w:val="32"/>
          <w:lang w:bidi="ar"/>
        </w:rPr>
        <w:t>提示：</w:t>
      </w:r>
      <w:r>
        <w:rPr>
          <w:rFonts w:hint="eastAsia" w:ascii="仿宋_GB2312" w:hAnsi="Times New Roman" w:eastAsia="仿宋_GB2312" w:cs="仿宋_GB2312"/>
          <w:bCs/>
          <w:sz w:val="32"/>
          <w:szCs w:val="32"/>
          <w:lang w:bidi="ar"/>
        </w:rPr>
        <w:t>基于中国气象局第三代气候预测模式产品（CMA-CPSv3）、中国气象局国家气候中心多模式集合预测系统（NCC CMME）的逐日数据和内蒙古客观化的月尺度气象灾害风险预警模型，对2026年8月巴彦淖尔市气象灾害风险研判（2026年7月30日起报）。</w:t>
      </w:r>
    </w:p>
    <w:p w14:paraId="11DEFDA9">
      <w:pPr>
        <w:spacing w:before="156" w:beforeLines="50"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一、干旱</w:t>
      </w:r>
    </w:p>
    <w:p w14:paraId="593FE63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预计2026年8月，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全市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大部地区干旱灾害风险在较低等级到中等级。其中，中等级风险区主要位于乌拉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特中旗（图1），影响面积超过1261.4平方公里，影响面积占比约为5.5%，其影响人口超过5.5万人，影响人口占比约49.1%。</w:t>
      </w:r>
    </w:p>
    <w:p w14:paraId="329F1A36">
      <w:pPr>
        <w:widowControl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br w:type="page"/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4388"/>
      </w:tblGrid>
      <w:tr w14:paraId="17AFE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296" w:type="dxa"/>
            <w:gridSpan w:val="2"/>
            <w:vAlign w:val="center"/>
          </w:tcPr>
          <w:p w14:paraId="531C1C1E">
            <w:pPr>
              <w:spacing w:line="320" w:lineRule="exact"/>
              <w:jc w:val="center"/>
              <w:rPr>
                <w:b/>
                <w:sz w:val="28"/>
                <w:szCs w:val="44"/>
              </w:rPr>
            </w:pPr>
            <w:r>
              <w:rPr>
                <w:rFonts w:hint="eastAsia"/>
                <w:b/>
                <w:sz w:val="28"/>
                <w:szCs w:val="44"/>
              </w:rPr>
              <w:t>巴彦淖尔市干旱灾害风险</w:t>
            </w:r>
          </w:p>
          <w:p w14:paraId="5824D298">
            <w:pPr>
              <w:spacing w:line="320" w:lineRule="exact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22"/>
                <w:szCs w:val="36"/>
              </w:rPr>
              <w:t>2026年8月</w:t>
            </w:r>
          </w:p>
        </w:tc>
      </w:tr>
      <w:tr w14:paraId="67BABE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6" w:hRule="exact"/>
        </w:trPr>
        <w:tc>
          <w:tcPr>
            <w:tcW w:w="8296" w:type="dxa"/>
            <w:gridSpan w:val="2"/>
          </w:tcPr>
          <w:p w14:paraId="222E5D37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4206240</wp:posOffset>
                  </wp:positionH>
                  <wp:positionV relativeFrom="paragraph">
                    <wp:posOffset>2570480</wp:posOffset>
                  </wp:positionV>
                  <wp:extent cx="902970" cy="1079500"/>
                  <wp:effectExtent l="19050" t="19050" r="11430" b="25400"/>
                  <wp:wrapNone/>
                  <wp:docPr id="145337296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37296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10795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18"/>
              </w:rPr>
              <w:drawing>
                <wp:inline distT="0" distB="0" distL="0" distR="0">
                  <wp:extent cx="4319905" cy="2894330"/>
                  <wp:effectExtent l="0" t="0" r="4445" b="1270"/>
                  <wp:docPr id="60834720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34720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0" cy="289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EB23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3888" w:type="dxa"/>
            <w:vAlign w:val="bottom"/>
          </w:tcPr>
          <w:p w14:paraId="3F3012B1">
            <w:pPr>
              <w:jc w:val="center"/>
              <w:rPr>
                <w:b/>
                <w:sz w:val="20"/>
                <w:szCs w:val="28"/>
              </w:rPr>
            </w:pPr>
            <w:r>
              <w:rPr>
                <w:rFonts w:hint="eastAsia"/>
                <w:b/>
                <w:sz w:val="20"/>
                <w:szCs w:val="28"/>
              </w:rPr>
              <w:t>巴彦淖尔市气象台</w:t>
            </w:r>
          </w:p>
          <w:p w14:paraId="0233C4CF">
            <w:pPr>
              <w:jc w:val="center"/>
              <w:rPr>
                <w:rFonts w:hint="eastAsia"/>
                <w:b/>
                <w:sz w:val="18"/>
              </w:rPr>
            </w:pPr>
            <w:r>
              <w:rPr>
                <w:rFonts w:hint="eastAsia"/>
                <w:b/>
                <w:sz w:val="20"/>
                <w:szCs w:val="28"/>
              </w:rPr>
              <w:t>审图号：蒙S（2019）33号</w:t>
            </w:r>
          </w:p>
        </w:tc>
        <w:tc>
          <w:tcPr>
            <w:tcW w:w="4408" w:type="dxa"/>
            <w:vAlign w:val="bottom"/>
          </w:tcPr>
          <w:p w14:paraId="1711E782">
            <w:pPr>
              <w:jc w:val="right"/>
              <w:rPr>
                <w:b/>
                <w:sz w:val="18"/>
              </w:rPr>
            </w:pPr>
          </w:p>
        </w:tc>
      </w:tr>
    </w:tbl>
    <w:p w14:paraId="72779E90">
      <w:pPr>
        <w:jc w:val="center"/>
        <w:rPr>
          <w:rFonts w:hint="eastAsia" w:ascii="仿宋_GB2312" w:hAnsi="仿宋_GB2312" w:eastAsia="仿宋_GB2312" w:cs="仿宋_GB2312"/>
          <w:b/>
          <w:sz w:val="28"/>
          <w:szCs w:val="44"/>
        </w:rPr>
      </w:pPr>
      <w:r>
        <w:rPr>
          <w:rFonts w:hint="eastAsia" w:ascii="仿宋_GB2312" w:hAnsi="仿宋_GB2312" w:eastAsia="仿宋_GB2312" w:cs="仿宋_GB2312"/>
          <w:b/>
          <w:sz w:val="28"/>
          <w:szCs w:val="44"/>
        </w:rPr>
        <w:t>图1 2026年8月巴彦淖尔市干旱灾害风险分布</w:t>
      </w:r>
    </w:p>
    <w:p w14:paraId="720AF3B2">
      <w:pPr>
        <w:jc w:val="center"/>
        <w:rPr>
          <w:b/>
          <w:sz w:val="18"/>
        </w:rPr>
      </w:pPr>
    </w:p>
    <w:p w14:paraId="2933D765">
      <w:pPr>
        <w:jc w:val="center"/>
        <w:rPr>
          <w:rFonts w:hint="eastAsia" w:ascii="仿宋_GB2312" w:hAnsi="仿宋_GB2312" w:eastAsia="仿宋_GB2312" w:cs="仿宋_GB2312"/>
          <w:b/>
          <w:w w:val="95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w w:val="95"/>
          <w:sz w:val="28"/>
          <w:szCs w:val="28"/>
        </w:rPr>
        <w:t>表1 8月干旱灾害中等级和较高等级风险旗县（区）的影响面积及人口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3584"/>
        <w:gridCol w:w="3066"/>
      </w:tblGrid>
      <w:tr w14:paraId="13F4A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9ACDEE9">
            <w:pPr>
              <w:jc w:val="center"/>
              <w:rPr>
                <w:rFonts w:hint="eastAsia" w:ascii="仿宋_GB2312" w:hAnsi="仿宋_GB2312" w:eastAsia="仿宋_GB2312" w:cs="仿宋_GB2312"/>
                <w:b/>
                <w:w w:val="9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2"/>
                <w:sz w:val="28"/>
                <w:szCs w:val="28"/>
              </w:rPr>
              <w:t>旗县（区）</w:t>
            </w:r>
          </w:p>
        </w:tc>
        <w:tc>
          <w:tcPr>
            <w:tcW w:w="0" w:type="auto"/>
          </w:tcPr>
          <w:p w14:paraId="07F071E8">
            <w:pPr>
              <w:jc w:val="center"/>
              <w:rPr>
                <w:rFonts w:hint="eastAsia" w:ascii="仿宋_GB2312" w:hAnsi="仿宋_GB2312" w:eastAsia="仿宋_GB2312" w:cs="仿宋_GB2312"/>
                <w:b/>
                <w:w w:val="9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2"/>
                <w:sz w:val="28"/>
                <w:szCs w:val="28"/>
              </w:rPr>
              <w:t>面积（平方公里）/比例（%）</w:t>
            </w:r>
          </w:p>
        </w:tc>
        <w:tc>
          <w:tcPr>
            <w:tcW w:w="0" w:type="auto"/>
          </w:tcPr>
          <w:p w14:paraId="2E4E7BEB">
            <w:pPr>
              <w:jc w:val="center"/>
              <w:rPr>
                <w:rFonts w:hint="eastAsia" w:ascii="仿宋_GB2312" w:hAnsi="仿宋_GB2312" w:eastAsia="仿宋_GB2312" w:cs="仿宋_GB2312"/>
                <w:b/>
                <w:w w:val="9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2"/>
                <w:sz w:val="28"/>
                <w:szCs w:val="28"/>
              </w:rPr>
              <w:t>人口（万人）/比例（%）</w:t>
            </w:r>
          </w:p>
        </w:tc>
      </w:tr>
      <w:tr w14:paraId="04447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BC73419">
            <w:pPr>
              <w:jc w:val="center"/>
              <w:rPr>
                <w:rFonts w:hint="eastAsia" w:ascii="仿宋_GB2312" w:hAnsi="仿宋_GB2312" w:eastAsia="仿宋_GB2312" w:cs="仿宋_GB2312"/>
                <w:b/>
                <w:w w:val="9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2"/>
                <w:sz w:val="28"/>
                <w:szCs w:val="28"/>
              </w:rPr>
              <w:t>乌拉特中旗</w:t>
            </w:r>
          </w:p>
        </w:tc>
        <w:tc>
          <w:tcPr>
            <w:tcW w:w="0" w:type="auto"/>
          </w:tcPr>
          <w:p w14:paraId="14266B77">
            <w:pPr>
              <w:jc w:val="center"/>
              <w:rPr>
                <w:rFonts w:hint="eastAsia" w:ascii="仿宋_GB2312" w:hAnsi="仿宋_GB2312" w:eastAsia="仿宋_GB2312" w:cs="仿宋_GB2312"/>
                <w:b/>
                <w:w w:val="9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2"/>
                <w:sz w:val="28"/>
                <w:szCs w:val="28"/>
              </w:rPr>
              <w:t>1261.4/5.5</w:t>
            </w:r>
          </w:p>
        </w:tc>
        <w:tc>
          <w:tcPr>
            <w:tcW w:w="0" w:type="auto"/>
          </w:tcPr>
          <w:p w14:paraId="20F5798B">
            <w:pPr>
              <w:jc w:val="center"/>
              <w:rPr>
                <w:rFonts w:hint="eastAsia" w:ascii="仿宋_GB2312" w:hAnsi="仿宋_GB2312" w:eastAsia="仿宋_GB2312" w:cs="仿宋_GB2312"/>
                <w:b/>
                <w:w w:val="9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2"/>
                <w:sz w:val="28"/>
                <w:szCs w:val="28"/>
              </w:rPr>
              <w:t>5.5/49.1</w:t>
            </w:r>
          </w:p>
        </w:tc>
      </w:tr>
    </w:tbl>
    <w:p w14:paraId="44DB0E8A">
      <w:pPr>
        <w:spacing w:line="560" w:lineRule="exact"/>
        <w:rPr>
          <w:rFonts w:hint="eastAsia" w:ascii="仿宋_GB2312" w:hAnsi="仿宋" w:eastAsia="仿宋_GB2312"/>
          <w:b/>
          <w:sz w:val="32"/>
          <w:szCs w:val="32"/>
        </w:rPr>
      </w:pPr>
    </w:p>
    <w:p w14:paraId="22C99D99">
      <w:pPr>
        <w:spacing w:line="560" w:lineRule="exact"/>
        <w:rPr>
          <w:rFonts w:hint="eastAsia" w:ascii="仿宋_GB2312" w:hAnsi="仿宋" w:eastAsia="仿宋_GB2312"/>
          <w:b/>
          <w:sz w:val="32"/>
          <w:szCs w:val="32"/>
        </w:rPr>
      </w:pPr>
    </w:p>
    <w:p w14:paraId="70CE58A8">
      <w:pPr>
        <w:spacing w:line="560" w:lineRule="exact"/>
        <w:rPr>
          <w:rFonts w:hint="eastAsia" w:ascii="仿宋_GB2312" w:hAnsi="仿宋" w:eastAsia="仿宋_GB2312"/>
          <w:b/>
          <w:sz w:val="32"/>
          <w:szCs w:val="32"/>
        </w:rPr>
      </w:pPr>
    </w:p>
    <w:p w14:paraId="32A04BED">
      <w:pPr>
        <w:spacing w:line="560" w:lineRule="exact"/>
        <w:rPr>
          <w:rFonts w:hint="eastAsia" w:ascii="仿宋_GB2312" w:hAnsi="仿宋" w:eastAsia="仿宋_GB2312"/>
          <w:b/>
          <w:sz w:val="32"/>
          <w:szCs w:val="32"/>
        </w:rPr>
      </w:pPr>
    </w:p>
    <w:p w14:paraId="339FADD2">
      <w:pPr>
        <w:spacing w:line="560" w:lineRule="exact"/>
        <w:rPr>
          <w:rFonts w:hint="eastAsia" w:ascii="仿宋_GB2312" w:hAnsi="仿宋" w:eastAsia="仿宋_GB2312"/>
          <w:b/>
          <w:sz w:val="32"/>
          <w:szCs w:val="32"/>
        </w:rPr>
      </w:pPr>
    </w:p>
    <w:p w14:paraId="0AD45528">
      <w:pPr>
        <w:spacing w:line="560" w:lineRule="exact"/>
        <w:rPr>
          <w:rFonts w:ascii="仿宋_GB2312" w:hAnsi="仿宋" w:eastAsia="仿宋_GB2312"/>
          <w:b/>
          <w:sz w:val="32"/>
          <w:szCs w:val="32"/>
        </w:rPr>
      </w:pPr>
    </w:p>
    <w:p w14:paraId="6A483188">
      <w:pPr>
        <w:spacing w:line="160" w:lineRule="exact"/>
        <w:rPr>
          <w:rFonts w:hint="eastAsia" w:ascii="仿宋_GB2312" w:hAnsi="仿宋" w:eastAsia="仿宋_GB2312"/>
          <w:b/>
          <w:sz w:val="32"/>
          <w:szCs w:val="32"/>
        </w:rPr>
      </w:pPr>
    </w:p>
    <w:tbl>
      <w:tblPr>
        <w:tblStyle w:val="10"/>
        <w:tblW w:w="8731" w:type="dxa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195"/>
        <w:gridCol w:w="2268"/>
      </w:tblGrid>
      <w:tr w14:paraId="30CEAA49"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FF0000" w:sz="18" w:space="0"/>
              <w:left w:val="nil"/>
              <w:bottom w:val="nil"/>
              <w:right w:val="nil"/>
            </w:tcBorders>
            <w:vAlign w:val="center"/>
          </w:tcPr>
          <w:p w14:paraId="469C1517">
            <w:pPr>
              <w:adjustRightInd w:val="0"/>
              <w:spacing w:line="520" w:lineRule="exact"/>
              <w:rPr>
                <w:rFonts w:ascii="仿宋_GB2312" w:hAnsi="Calibri" w:eastAsia="仿宋" w:cs="Times New Roman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000000"/>
                <w:kern w:val="0"/>
                <w:sz w:val="30"/>
                <w:szCs w:val="30"/>
              </w:rPr>
              <w:t>制作：张杨飞</w:t>
            </w:r>
          </w:p>
        </w:tc>
        <w:tc>
          <w:tcPr>
            <w:tcW w:w="4195" w:type="dxa"/>
            <w:tcBorders>
              <w:top w:val="single" w:color="FF0000" w:sz="18" w:space="0"/>
              <w:left w:val="nil"/>
              <w:bottom w:val="nil"/>
              <w:right w:val="nil"/>
            </w:tcBorders>
            <w:vAlign w:val="center"/>
          </w:tcPr>
          <w:p w14:paraId="6CE1E720">
            <w:pPr>
              <w:adjustRightInd w:val="0"/>
              <w:spacing w:line="520" w:lineRule="exact"/>
              <w:jc w:val="center"/>
              <w:rPr>
                <w:rFonts w:ascii="仿宋_GB2312" w:hAnsi="Calibri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000000"/>
                <w:kern w:val="0"/>
                <w:sz w:val="30"/>
                <w:szCs w:val="30"/>
              </w:rPr>
              <w:t>审核：李凯鹏 赵娜君</w:t>
            </w:r>
          </w:p>
        </w:tc>
        <w:tc>
          <w:tcPr>
            <w:tcW w:w="2268" w:type="dxa"/>
            <w:tcBorders>
              <w:top w:val="single" w:color="FF0000" w:sz="18" w:space="0"/>
              <w:left w:val="nil"/>
              <w:bottom w:val="nil"/>
              <w:right w:val="nil"/>
            </w:tcBorders>
            <w:vAlign w:val="center"/>
          </w:tcPr>
          <w:p w14:paraId="316CAA51">
            <w:pPr>
              <w:adjustRightInd w:val="0"/>
              <w:spacing w:line="520" w:lineRule="exact"/>
              <w:jc w:val="right"/>
              <w:rPr>
                <w:rFonts w:ascii="仿宋_GB2312" w:hAnsi="Calibri" w:eastAsia="仿宋" w:cs="Times New Roman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000000"/>
                <w:kern w:val="0"/>
                <w:sz w:val="30"/>
                <w:szCs w:val="30"/>
              </w:rPr>
              <w:t>签发：杨千蕙</w:t>
            </w:r>
          </w:p>
        </w:tc>
      </w:tr>
    </w:tbl>
    <w:p w14:paraId="17F94124"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45C"/>
    <w:rsid w:val="000167C3"/>
    <w:rsid w:val="001E30FE"/>
    <w:rsid w:val="00364870"/>
    <w:rsid w:val="003B4994"/>
    <w:rsid w:val="004519EB"/>
    <w:rsid w:val="0061235F"/>
    <w:rsid w:val="006F6580"/>
    <w:rsid w:val="00756687"/>
    <w:rsid w:val="00783285"/>
    <w:rsid w:val="00A00FF6"/>
    <w:rsid w:val="00A0412B"/>
    <w:rsid w:val="00A83694"/>
    <w:rsid w:val="00C80F7C"/>
    <w:rsid w:val="00D771B1"/>
    <w:rsid w:val="00DA41A2"/>
    <w:rsid w:val="00EF445C"/>
    <w:rsid w:val="00F02B44"/>
    <w:rsid w:val="186D2451"/>
    <w:rsid w:val="66770C98"/>
    <w:rsid w:val="7043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楷体_GB2312" w:hAnsi="宋体" w:eastAsia="楷体_GB2312"/>
      <w:sz w:val="28"/>
      <w:szCs w:val="2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table" w:customStyle="1" w:styleId="10">
    <w:name w:val="网格型1"/>
    <w:basedOn w:val="5"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网格型2"/>
    <w:basedOn w:val="5"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395</Words>
  <Characters>465</Characters>
  <Lines>3</Lines>
  <Paragraphs>1</Paragraphs>
  <TotalTime>320</TotalTime>
  <ScaleCrop>false</ScaleCrop>
  <LinksUpToDate>false</LinksUpToDate>
  <CharactersWithSpaces>469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2026-07-31T04:01:00Z</dcterms:created>
  <dc:creator>Administrator</dc:creator>
  <cp:lastModifiedBy>微信用户</cp:lastModifiedBy>
  <dcterms:modified xsi:type="dcterms:W3CDTF">2026-07-31T09:23:18Z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eyJoZGlkIjoiNjY2YzI3ODExZTg5OWFjOTM1ZWIwYjRjMGJiYWI1YjciLCJ1c2VySWQiOiIxMjM3NzgyMzY5In0=</vt:lpwstr>
  </property>
  <property fmtid="{D5CDD505-2E9C-101B-9397-08002B2CF9AE}" pid="4" name="ICV">
    <vt:lpwstr>3F672713ACC2406C885C0D09AB0593FD_12</vt:lpwstr>
  </property>
</Properties>
</file>